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Приложение  №1 к ТЗ  №СКС-2023-В-З-582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  <w:u w:val="single"/>
        </w:rPr>
        <w:t>АКТ ТЕХНИЧЕСКОГО ОСМОТРА ОБЪЕКТА КАПИТАЛЬНОГО СТРОИТЕЛЬСТВА</w:t>
      </w:r>
    </w:p>
    <w:p>
      <w:pPr>
        <w:pStyle w:val="ConsPlusNormal"/>
        <w:rPr/>
      </w:pPr>
      <w:hyperlink r:id="rId2">
        <w:r>
          <w:rPr>
            <w:rStyle w:val="ListLabel1"/>
            <w:rFonts w:cs="Times New Roman" w:ascii="Times New Roman" w:hAnsi="Times New Roman"/>
            <w:i/>
            <w:sz w:val="24"/>
            <w:szCs w:val="24"/>
          </w:rPr>
          <w:br/>
          <w:t>В соответствии с "ГОСТ 31937-2011. Межгосударственный стандарт. Здания и сооружения. Правила обследования и мониторинга технического состояния"</w:t>
        </w:r>
      </w:hyperlink>
      <w:r>
        <w:rPr>
          <w:rFonts w:cs="Times New Roman" w:ascii="Times New Roman" w:hAnsi="Times New Roman"/>
          <w:i/>
          <w:sz w:val="24"/>
          <w:szCs w:val="24"/>
        </w:rPr>
        <w:t xml:space="preserve"> (прил.В)</w:t>
      </w:r>
      <w:r>
        <w:rPr>
          <w:rFonts w:cs="Times New Roman" w:ascii="Times New Roman" w:hAnsi="Times New Roman"/>
          <w:sz w:val="24"/>
          <w:szCs w:val="24"/>
        </w:rPr>
        <w:br/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Комиссия в составе: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1)представитель заказчика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иные заинтересованные лица</w:t>
      </w:r>
    </w:p>
    <w:p>
      <w:pPr>
        <w:pStyle w:val="ConsPlus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3)произвели осмотр технического состояния (наименования объекта)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Сведения об объекте капитального строительства: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</w:p>
    <w:tbl>
      <w:tblPr>
        <w:tblW w:w="9640" w:type="dxa"/>
        <w:jc w:val="left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283"/>
        <w:gridCol w:w="2356"/>
      </w:tblGrid>
      <w:tr>
        <w:trPr/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 Адрес объекта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 Год возведения объекта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 Собственник объекта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 Общая площадь объекта, в том числе поэтажная площадь, площадь застройки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1.5. Число этажей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1.6. Дата последнего капитального ремонта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Сведения о результатах обследования объекта капитального строительства: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4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96"/>
        <w:gridCol w:w="2373"/>
      </w:tblGrid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 Организация проводившая обследование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 Время проведения обследования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2.3. Перечень обследуемых конструкций объекта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Фундаменты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Стены, перегородки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Перекрытие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Кровля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Дверные проемы 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Оконные проемы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Наружная отделка </w:t>
            </w:r>
          </w:p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(в т.ч. теплотехническое </w:t>
            </w:r>
          </w:p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состояния ограждающих конструкций)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Внутренняя отделка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2.4. Перечень обследуемых инженерных систем:                                                               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Холодного водоснабжения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Горячего водоснабжения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Отопления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Канализации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Вентиляции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Газоснабжения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Электрических сетей и </w:t>
            </w:r>
          </w:p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 связи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Водостоков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Мусороудаления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196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firstLine="28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Лифтового оборудования</w:t>
            </w:r>
          </w:p>
        </w:tc>
        <w:tc>
          <w:tcPr>
            <w:tcW w:w="2373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Техническое состояние строительных конструкций и инженерного оборудования объекта:</w:t>
      </w:r>
    </w:p>
    <w:tbl>
      <w:tblPr>
        <w:tblStyle w:val="a4"/>
        <w:tblW w:w="9604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64"/>
        <w:gridCol w:w="3069"/>
        <w:gridCol w:w="3071"/>
      </w:tblGrid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Перечень обследуемых конструкций и систем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Выявленные дефекты</w:t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Количественная оценка</w:t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 Перечень обследуемых конструкций объекта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Фундаменты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Стены, перегородки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Перекрытие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Кровля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Дверные проемы 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Оконные проемы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Наружная отделка </w:t>
            </w:r>
          </w:p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т.ч. теплотехническое                              состояния ограждающих конструкций)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Внутренняя отделка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3.2. Перечень обследуемых инженерных систем:                                                               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Холодного водоснабжения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Горячего водоснабжения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Отопления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Канализации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Вентиляции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Газоснабжения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Электрических сетей и средств связи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Водостоков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Мусороудаления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464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Лифтового оборудования</w:t>
            </w:r>
          </w:p>
        </w:tc>
        <w:tc>
          <w:tcPr>
            <w:tcW w:w="306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1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Приложения: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фотографии объекта;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описание общего состояния объекта по визуальному обследованию с указанием его физического и морального износа;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описание конструкций объекта, их характеристик и состояния;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чертежи конструкций объекта с деталями и обмерами (по необходимости);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дефектная ведомость;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результаты измерений и оценка показателей, используемых в поверочных расчетах;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обмерные планы и разрезы объект;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фотографии повреждений фасадов и конструкций;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анализ причин дефектов и повреждений;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задание на проектирование мероприятий по восстановлению или усилению конструкций (при необходимости).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схемы, фотографии и дефектные ведомости для инженерных систем, электрических сетей и средств связи;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схемы мест ввода и вводимые мощности холодной и горячей воды, отопления, газа, электроэнергии;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схема места вывода и мощность канализационной системы;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расчеты количественных оценок физического и морального износа инженерных систем;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ведомость отклонений от нормативных требований для инженерных систем, электрических сетей и средств связи;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- результаты проведения акустических и теплотехнических измерений и расчеты основных показателей (при необходимости).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Начальник  СДО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ООО «Самарские коммунальные системы»                                                                Зелих Е.Г.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bookmarkStart w:id="1" w:name="__DdeLink__670_1360757731"/>
      <w:bookmarkStart w:id="2" w:name="__DdeLink__670_1360757731"/>
      <w:bookmarkEnd w:id="2"/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Н</w:t>
      </w:r>
      <w:r>
        <w:rPr>
          <w:sz w:val="24"/>
          <w:szCs w:val="24"/>
        </w:rPr>
        <w:t>ачальник  ОКР</w:t>
      </w:r>
    </w:p>
    <w:p>
      <w:pPr>
        <w:pStyle w:val="Normal"/>
        <w:rPr/>
      </w:pPr>
      <w:r>
        <w:rPr>
          <w:sz w:val="24"/>
          <w:szCs w:val="24"/>
        </w:rPr>
        <w:t xml:space="preserve">ООО «Самарские коммунальные системы»                                                       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Белевцева Е.Е.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20" w:right="-138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20" w:right="-138" w:hanging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779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fd60b6"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07097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70abb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fd60b6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70ab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4BC10A1E7DC3509FB4CD7B7FE38CDDDAB52C0CD9BA3EA748080487F9EF9D4104AC84794CBDA58AIF1AM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LibreOffice/6.3.4.2$Windows_X86_64 LibreOffice_project/60da17e045e08f1793c57c00ba83cdfce946d0aa</Application>
  <Pages>3</Pages>
  <Words>373</Words>
  <Characters>2795</Characters>
  <CharactersWithSpaces>3383</CharactersWithSpaces>
  <Paragraphs>87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2023-01-24T07:45:00Z</dcterms:created>
  <dc:creator>Баранова Наталья Константиновна</dc:creator>
  <dc:description/>
  <dc:language>ru-RU</dc:language>
  <cp:lastModifiedBy/>
  <cp:lastPrinted>2023-03-01T10:33:34Z</cp:lastPrinted>
  <dcterms:modified xsi:type="dcterms:W3CDTF">2023-03-01T10:51:22Z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